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6C41B" w14:textId="73FBADF2" w:rsidR="006D61AF" w:rsidRDefault="00CA3FD3" w:rsidP="00CA3FD3">
      <w:pPr>
        <w:jc w:val="center"/>
        <w:rPr>
          <w:rFonts w:ascii="Arial" w:hAnsi="Arial" w:cs="Arial"/>
          <w:b/>
          <w:sz w:val="22"/>
          <w:szCs w:val="22"/>
        </w:rPr>
      </w:pPr>
      <w:r w:rsidRPr="00CA3FD3">
        <w:rPr>
          <w:rFonts w:ascii="Arial" w:hAnsi="Arial" w:cs="Arial"/>
          <w:b/>
          <w:sz w:val="22"/>
          <w:szCs w:val="22"/>
        </w:rPr>
        <w:t>Правила обработки персональных данных</w:t>
      </w:r>
    </w:p>
    <w:p w14:paraId="194D228D" w14:textId="3F33403B" w:rsidR="00CA3FD3" w:rsidRDefault="00CA3FD3" w:rsidP="00CA3FD3">
      <w:pPr>
        <w:jc w:val="center"/>
        <w:rPr>
          <w:rFonts w:ascii="Arial" w:hAnsi="Arial" w:cs="Arial"/>
          <w:b/>
          <w:sz w:val="22"/>
          <w:szCs w:val="22"/>
        </w:rPr>
      </w:pPr>
    </w:p>
    <w:p w14:paraId="2C33FC70" w14:textId="3E0F2D2E" w:rsidR="00CA3FD3" w:rsidRDefault="00CA3FD3" w:rsidP="00CA3F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Настоящи</w:t>
      </w:r>
      <w:r w:rsidR="00D47FD9">
        <w:rPr>
          <w:rFonts w:ascii="Arial" w:hAnsi="Arial" w:cs="Arial"/>
          <w:sz w:val="22"/>
          <w:szCs w:val="22"/>
        </w:rPr>
        <w:t xml:space="preserve">е правила обработки персональных данных (далее – «Правила») </w:t>
      </w:r>
      <w:r>
        <w:rPr>
          <w:rFonts w:ascii="Arial" w:hAnsi="Arial" w:cs="Arial"/>
          <w:sz w:val="22"/>
          <w:szCs w:val="22"/>
        </w:rPr>
        <w:t xml:space="preserve">являются неотъемлемой частью соглашения об обмене конфиденциальной информацией между юридическими лицами холдинга Т1 (далее – «Соглашение») и определяют </w:t>
      </w:r>
      <w:r w:rsidR="00D47FD9">
        <w:rPr>
          <w:rFonts w:ascii="Arial" w:hAnsi="Arial" w:cs="Arial"/>
          <w:sz w:val="22"/>
          <w:szCs w:val="22"/>
        </w:rPr>
        <w:t>условия</w:t>
      </w:r>
      <w:r w:rsidRPr="00CA3FD3">
        <w:rPr>
          <w:rFonts w:ascii="Arial" w:hAnsi="Arial" w:cs="Arial"/>
          <w:sz w:val="22"/>
          <w:szCs w:val="22"/>
        </w:rPr>
        <w:t xml:space="preserve"> обработки персональных данных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CA3FD3">
        <w:rPr>
          <w:rFonts w:ascii="Arial" w:hAnsi="Arial" w:cs="Arial"/>
          <w:sz w:val="22"/>
          <w:szCs w:val="22"/>
        </w:rPr>
        <w:t>юридически</w:t>
      </w:r>
      <w:r>
        <w:rPr>
          <w:rFonts w:ascii="Arial" w:hAnsi="Arial" w:cs="Arial"/>
          <w:sz w:val="22"/>
          <w:szCs w:val="22"/>
        </w:rPr>
        <w:t>ми</w:t>
      </w:r>
      <w:r w:rsidRPr="00CA3FD3">
        <w:rPr>
          <w:rFonts w:ascii="Arial" w:hAnsi="Arial" w:cs="Arial"/>
          <w:sz w:val="22"/>
          <w:szCs w:val="22"/>
        </w:rPr>
        <w:t xml:space="preserve"> лица</w:t>
      </w:r>
      <w:r>
        <w:rPr>
          <w:rFonts w:ascii="Arial" w:hAnsi="Arial" w:cs="Arial"/>
          <w:sz w:val="22"/>
          <w:szCs w:val="22"/>
        </w:rPr>
        <w:t>ми</w:t>
      </w:r>
      <w:r w:rsidRPr="00CA3FD3">
        <w:rPr>
          <w:rFonts w:ascii="Arial" w:hAnsi="Arial" w:cs="Arial"/>
          <w:sz w:val="22"/>
          <w:szCs w:val="22"/>
        </w:rPr>
        <w:t>, входящи</w:t>
      </w:r>
      <w:r>
        <w:rPr>
          <w:rFonts w:ascii="Arial" w:hAnsi="Arial" w:cs="Arial"/>
          <w:sz w:val="22"/>
          <w:szCs w:val="22"/>
        </w:rPr>
        <w:t>ми</w:t>
      </w:r>
      <w:r w:rsidRPr="00CA3FD3">
        <w:rPr>
          <w:rFonts w:ascii="Arial" w:hAnsi="Arial" w:cs="Arial"/>
          <w:sz w:val="22"/>
          <w:szCs w:val="22"/>
        </w:rPr>
        <w:t xml:space="preserve"> в Холдинг Т1</w:t>
      </w:r>
      <w:r>
        <w:rPr>
          <w:rFonts w:ascii="Arial" w:hAnsi="Arial" w:cs="Arial"/>
          <w:sz w:val="22"/>
          <w:szCs w:val="22"/>
        </w:rPr>
        <w:t>.</w:t>
      </w:r>
    </w:p>
    <w:p w14:paraId="6EE88630" w14:textId="77777777" w:rsidR="00CA3FD3" w:rsidRDefault="00CA3FD3" w:rsidP="00CA3FD3">
      <w:pPr>
        <w:jc w:val="both"/>
        <w:rPr>
          <w:rFonts w:ascii="Arial" w:hAnsi="Arial" w:cs="Arial"/>
          <w:sz w:val="22"/>
          <w:szCs w:val="22"/>
        </w:rPr>
      </w:pPr>
    </w:p>
    <w:p w14:paraId="77291154" w14:textId="7D8AB421" w:rsidR="00CA3FD3" w:rsidRPr="00CA3FD3" w:rsidRDefault="00CA3FD3" w:rsidP="00CA3FD3">
      <w:pPr>
        <w:jc w:val="both"/>
        <w:rPr>
          <w:rFonts w:ascii="Arial" w:hAnsi="Arial" w:cs="Arial"/>
          <w:b/>
          <w:sz w:val="22"/>
          <w:szCs w:val="22"/>
        </w:rPr>
      </w:pPr>
      <w:r w:rsidRPr="00CA3FD3">
        <w:rPr>
          <w:rFonts w:ascii="Arial" w:hAnsi="Arial" w:cs="Arial"/>
          <w:b/>
          <w:sz w:val="22"/>
          <w:szCs w:val="22"/>
        </w:rPr>
        <w:t>Термины и определения:</w:t>
      </w:r>
    </w:p>
    <w:p w14:paraId="4A971438" w14:textId="724DEA13" w:rsidR="00CA3FD3" w:rsidRDefault="00CA3FD3" w:rsidP="00CA3FD3">
      <w:p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line="276" w:lineRule="auto"/>
        <w:ind w:right="142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>Т</w:t>
      </w:r>
      <w:r w:rsidRPr="00B73B4C">
        <w:rPr>
          <w:rFonts w:ascii="Arial" w:hAnsi="Arial" w:cs="Arial"/>
          <w:color w:val="000000"/>
          <w:spacing w:val="4"/>
          <w:sz w:val="22"/>
          <w:szCs w:val="22"/>
        </w:rPr>
        <w:t>ермины с заглавной буквы</w:t>
      </w:r>
      <w:r w:rsidR="00D47FD9">
        <w:rPr>
          <w:rFonts w:ascii="Arial" w:hAnsi="Arial" w:cs="Arial"/>
          <w:color w:val="000000"/>
          <w:spacing w:val="4"/>
          <w:sz w:val="22"/>
          <w:szCs w:val="22"/>
        </w:rPr>
        <w:t>,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приведенные </w:t>
      </w:r>
      <w:r w:rsidRPr="00CA3FD3">
        <w:rPr>
          <w:rFonts w:ascii="Arial" w:hAnsi="Arial" w:cs="Arial"/>
          <w:color w:val="000000"/>
          <w:spacing w:val="4"/>
          <w:sz w:val="22"/>
          <w:szCs w:val="22"/>
        </w:rPr>
        <w:t xml:space="preserve">в настоящих </w:t>
      </w:r>
      <w:r w:rsidR="00D47FD9">
        <w:rPr>
          <w:rFonts w:ascii="Arial" w:hAnsi="Arial" w:cs="Arial"/>
          <w:color w:val="000000"/>
          <w:spacing w:val="4"/>
          <w:sz w:val="22"/>
          <w:szCs w:val="22"/>
        </w:rPr>
        <w:t>П</w:t>
      </w:r>
      <w:r w:rsidRPr="00CA3FD3">
        <w:rPr>
          <w:rFonts w:ascii="Arial" w:hAnsi="Arial" w:cs="Arial"/>
          <w:color w:val="000000"/>
          <w:spacing w:val="4"/>
          <w:sz w:val="22"/>
          <w:szCs w:val="22"/>
        </w:rPr>
        <w:t>равилах</w:t>
      </w:r>
      <w:r w:rsidR="00D47FD9">
        <w:rPr>
          <w:rFonts w:ascii="Arial" w:hAnsi="Arial" w:cs="Arial"/>
          <w:color w:val="000000"/>
          <w:spacing w:val="4"/>
          <w:sz w:val="22"/>
          <w:szCs w:val="22"/>
        </w:rPr>
        <w:t>,</w:t>
      </w:r>
      <w:r w:rsidRPr="00CA3FD3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B73B4C">
        <w:rPr>
          <w:rFonts w:ascii="Arial" w:hAnsi="Arial" w:cs="Arial"/>
          <w:color w:val="000000"/>
          <w:spacing w:val="4"/>
          <w:sz w:val="22"/>
          <w:szCs w:val="22"/>
        </w:rPr>
        <w:t>имеют следующие значения:</w:t>
      </w:r>
    </w:p>
    <w:p w14:paraId="113A4B4E" w14:textId="5534B28F" w:rsidR="003F4DA6" w:rsidRDefault="003F4DA6" w:rsidP="00CA3FD3">
      <w:p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line="276" w:lineRule="auto"/>
        <w:ind w:right="142"/>
        <w:jc w:val="both"/>
        <w:rPr>
          <w:rFonts w:ascii="Arial" w:hAnsi="Arial" w:cs="Arial"/>
          <w:b/>
          <w:color w:val="000000"/>
          <w:spacing w:val="4"/>
          <w:sz w:val="22"/>
          <w:szCs w:val="22"/>
        </w:rPr>
      </w:pPr>
    </w:p>
    <w:p w14:paraId="00B018C6" w14:textId="23947431" w:rsidR="00CA3FD3" w:rsidRDefault="00CA3FD3" w:rsidP="00CA3FD3">
      <w:p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line="276" w:lineRule="auto"/>
        <w:ind w:right="142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F4DA6">
        <w:rPr>
          <w:rFonts w:ascii="Arial" w:hAnsi="Arial" w:cs="Arial"/>
          <w:b/>
          <w:color w:val="000000"/>
          <w:spacing w:val="4"/>
          <w:sz w:val="22"/>
          <w:szCs w:val="22"/>
        </w:rPr>
        <w:t>«Персональные данные»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- </w:t>
      </w:r>
      <w:r w:rsidR="003F4DA6">
        <w:rPr>
          <w:rFonts w:ascii="Arial" w:hAnsi="Arial" w:cs="Arial"/>
          <w:color w:val="000000"/>
          <w:spacing w:val="4"/>
          <w:sz w:val="22"/>
          <w:szCs w:val="22"/>
        </w:rPr>
        <w:t xml:space="preserve">любая информация, которая прямо или косвенно относится к определенному или определяемому физическому лицу; </w:t>
      </w:r>
    </w:p>
    <w:p w14:paraId="615A0A5E" w14:textId="3ACDA071" w:rsidR="00CA3FD3" w:rsidRDefault="003F4DA6" w:rsidP="00CA3FD3">
      <w:p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line="276" w:lineRule="auto"/>
        <w:ind w:right="142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F4DA6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</w:t>
      </w:r>
      <w:r w:rsidR="00CA3FD3" w:rsidRPr="003F4DA6">
        <w:rPr>
          <w:rFonts w:ascii="Arial" w:hAnsi="Arial" w:cs="Arial"/>
          <w:b/>
          <w:color w:val="000000"/>
          <w:spacing w:val="4"/>
          <w:sz w:val="22"/>
          <w:szCs w:val="22"/>
        </w:rPr>
        <w:t>«Получающая Сторона»</w:t>
      </w:r>
      <w:r w:rsidR="00CA3FD3">
        <w:rPr>
          <w:rFonts w:ascii="Arial" w:hAnsi="Arial" w:cs="Arial"/>
          <w:color w:val="000000"/>
          <w:spacing w:val="4"/>
          <w:sz w:val="22"/>
          <w:szCs w:val="22"/>
        </w:rPr>
        <w:t xml:space="preserve"> –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3F4DA6">
        <w:rPr>
          <w:rFonts w:ascii="Arial" w:hAnsi="Arial" w:cs="Arial"/>
          <w:color w:val="000000"/>
          <w:spacing w:val="4"/>
          <w:sz w:val="22"/>
          <w:szCs w:val="22"/>
        </w:rPr>
        <w:t>юридическ</w:t>
      </w:r>
      <w:r>
        <w:rPr>
          <w:rFonts w:ascii="Arial" w:hAnsi="Arial" w:cs="Arial"/>
          <w:color w:val="000000"/>
          <w:spacing w:val="4"/>
          <w:sz w:val="22"/>
          <w:szCs w:val="22"/>
        </w:rPr>
        <w:t>ое</w:t>
      </w:r>
      <w:r w:rsidRPr="003F4DA6">
        <w:rPr>
          <w:rFonts w:ascii="Arial" w:hAnsi="Arial" w:cs="Arial"/>
          <w:color w:val="000000"/>
          <w:spacing w:val="4"/>
          <w:sz w:val="22"/>
          <w:szCs w:val="22"/>
        </w:rPr>
        <w:t xml:space="preserve"> лиц</w:t>
      </w:r>
      <w:r>
        <w:rPr>
          <w:rFonts w:ascii="Arial" w:hAnsi="Arial" w:cs="Arial"/>
          <w:color w:val="000000"/>
          <w:spacing w:val="4"/>
          <w:sz w:val="22"/>
          <w:szCs w:val="22"/>
        </w:rPr>
        <w:t>о</w:t>
      </w:r>
      <w:r w:rsidRPr="003F4DA6">
        <w:rPr>
          <w:rFonts w:ascii="Arial" w:hAnsi="Arial" w:cs="Arial"/>
          <w:color w:val="000000"/>
          <w:spacing w:val="4"/>
          <w:sz w:val="22"/>
          <w:szCs w:val="22"/>
        </w:rPr>
        <w:t xml:space="preserve"> холдинга Т1</w:t>
      </w:r>
      <w:r>
        <w:rPr>
          <w:rFonts w:ascii="Arial" w:hAnsi="Arial" w:cs="Arial"/>
          <w:color w:val="000000"/>
          <w:spacing w:val="4"/>
          <w:sz w:val="22"/>
          <w:szCs w:val="22"/>
        </w:rPr>
        <w:t>, которое получает Персональные данные от Раскрывающей Стороны;</w:t>
      </w:r>
    </w:p>
    <w:p w14:paraId="3A54C9EC" w14:textId="7D90EA4F" w:rsidR="003F4DA6" w:rsidRDefault="003F4DA6" w:rsidP="00CA3FD3">
      <w:p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line="276" w:lineRule="auto"/>
        <w:ind w:right="142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F4DA6">
        <w:rPr>
          <w:rFonts w:ascii="Arial" w:hAnsi="Arial" w:cs="Arial"/>
          <w:b/>
          <w:color w:val="000000"/>
          <w:spacing w:val="4"/>
          <w:sz w:val="22"/>
          <w:szCs w:val="22"/>
        </w:rPr>
        <w:t>«Раскрывающая Сторона»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- </w:t>
      </w:r>
      <w:r w:rsidRPr="003F4DA6">
        <w:rPr>
          <w:rFonts w:ascii="Arial" w:hAnsi="Arial" w:cs="Arial"/>
          <w:color w:val="000000"/>
          <w:spacing w:val="4"/>
          <w:sz w:val="22"/>
          <w:szCs w:val="22"/>
        </w:rPr>
        <w:t>юридическ</w:t>
      </w:r>
      <w:r>
        <w:rPr>
          <w:rFonts w:ascii="Arial" w:hAnsi="Arial" w:cs="Arial"/>
          <w:color w:val="000000"/>
          <w:spacing w:val="4"/>
          <w:sz w:val="22"/>
          <w:szCs w:val="22"/>
        </w:rPr>
        <w:t>ое</w:t>
      </w:r>
      <w:r w:rsidRPr="003F4DA6">
        <w:rPr>
          <w:rFonts w:ascii="Arial" w:hAnsi="Arial" w:cs="Arial"/>
          <w:color w:val="000000"/>
          <w:spacing w:val="4"/>
          <w:sz w:val="22"/>
          <w:szCs w:val="22"/>
        </w:rPr>
        <w:t xml:space="preserve"> лиц</w:t>
      </w:r>
      <w:r>
        <w:rPr>
          <w:rFonts w:ascii="Arial" w:hAnsi="Arial" w:cs="Arial"/>
          <w:color w:val="000000"/>
          <w:spacing w:val="4"/>
          <w:sz w:val="22"/>
          <w:szCs w:val="22"/>
        </w:rPr>
        <w:t>о</w:t>
      </w:r>
      <w:r w:rsidRPr="003F4DA6">
        <w:rPr>
          <w:rFonts w:ascii="Arial" w:hAnsi="Arial" w:cs="Arial"/>
          <w:color w:val="000000"/>
          <w:spacing w:val="4"/>
          <w:sz w:val="22"/>
          <w:szCs w:val="22"/>
        </w:rPr>
        <w:t xml:space="preserve"> холдинга Т1</w:t>
      </w:r>
      <w:r>
        <w:rPr>
          <w:rFonts w:ascii="Arial" w:hAnsi="Arial" w:cs="Arial"/>
          <w:color w:val="000000"/>
          <w:spacing w:val="4"/>
          <w:sz w:val="22"/>
          <w:szCs w:val="22"/>
        </w:rPr>
        <w:t>, которое передает Персональные данные Получающей Стороне;</w:t>
      </w:r>
    </w:p>
    <w:p w14:paraId="682BF30F" w14:textId="2D0D448D" w:rsidR="00CA3FD3" w:rsidRDefault="00CA3FD3" w:rsidP="00CA3FD3">
      <w:p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line="276" w:lineRule="auto"/>
        <w:ind w:right="142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F4DA6">
        <w:rPr>
          <w:rFonts w:ascii="Arial" w:hAnsi="Arial" w:cs="Arial"/>
          <w:b/>
          <w:color w:val="000000"/>
          <w:spacing w:val="4"/>
          <w:sz w:val="22"/>
          <w:szCs w:val="22"/>
        </w:rPr>
        <w:t>«Субъекты персональных данных»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- </w:t>
      </w:r>
      <w:r w:rsidR="003F4DA6">
        <w:rPr>
          <w:rFonts w:ascii="Arial" w:hAnsi="Arial" w:cs="Arial"/>
          <w:color w:val="000000"/>
          <w:spacing w:val="4"/>
          <w:sz w:val="22"/>
          <w:szCs w:val="22"/>
        </w:rPr>
        <w:t>физическ</w:t>
      </w:r>
      <w:r w:rsidR="0097236A">
        <w:rPr>
          <w:rFonts w:ascii="Arial" w:hAnsi="Arial" w:cs="Arial"/>
          <w:color w:val="000000"/>
          <w:spacing w:val="4"/>
          <w:sz w:val="22"/>
          <w:szCs w:val="22"/>
        </w:rPr>
        <w:t>и</w:t>
      </w:r>
      <w:r w:rsidR="003F4DA6">
        <w:rPr>
          <w:rFonts w:ascii="Arial" w:hAnsi="Arial" w:cs="Arial"/>
          <w:color w:val="000000"/>
          <w:spacing w:val="4"/>
          <w:sz w:val="22"/>
          <w:szCs w:val="22"/>
        </w:rPr>
        <w:t>е лиц</w:t>
      </w:r>
      <w:r w:rsidR="0097236A">
        <w:rPr>
          <w:rFonts w:ascii="Arial" w:hAnsi="Arial" w:cs="Arial"/>
          <w:color w:val="000000"/>
          <w:spacing w:val="4"/>
          <w:sz w:val="22"/>
          <w:szCs w:val="22"/>
        </w:rPr>
        <w:t>а</w:t>
      </w:r>
      <w:r w:rsidR="003F4DA6">
        <w:rPr>
          <w:rFonts w:ascii="Arial" w:hAnsi="Arial" w:cs="Arial"/>
          <w:color w:val="000000"/>
          <w:spacing w:val="4"/>
          <w:sz w:val="22"/>
          <w:szCs w:val="22"/>
        </w:rPr>
        <w:t xml:space="preserve">, чьи Персональные данные передаются по Соглашению; </w:t>
      </w:r>
    </w:p>
    <w:p w14:paraId="3221FC0E" w14:textId="2EAFBD45" w:rsidR="003F4DA6" w:rsidRDefault="003F4DA6" w:rsidP="00CA3FD3">
      <w:p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line="276" w:lineRule="auto"/>
        <w:ind w:right="142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F4DA6">
        <w:rPr>
          <w:rFonts w:ascii="Arial" w:hAnsi="Arial" w:cs="Arial"/>
          <w:b/>
          <w:color w:val="000000"/>
          <w:spacing w:val="4"/>
          <w:sz w:val="22"/>
          <w:szCs w:val="22"/>
        </w:rPr>
        <w:t>«Закон ФЗ-152»</w:t>
      </w:r>
      <w:r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</w:t>
      </w:r>
      <w:r w:rsidRPr="003F4DA6">
        <w:rPr>
          <w:rFonts w:ascii="Arial" w:hAnsi="Arial" w:cs="Arial"/>
          <w:color w:val="000000"/>
          <w:spacing w:val="4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pacing w:val="4"/>
          <w:sz w:val="22"/>
          <w:szCs w:val="22"/>
        </w:rPr>
        <w:t>ф</w:t>
      </w:r>
      <w:r w:rsidRPr="003F4DA6">
        <w:rPr>
          <w:rFonts w:ascii="Arial" w:hAnsi="Arial" w:cs="Arial"/>
          <w:color w:val="000000"/>
          <w:spacing w:val="4"/>
          <w:sz w:val="22"/>
          <w:szCs w:val="22"/>
        </w:rPr>
        <w:t xml:space="preserve">едеральный закон от 27.07.2006 N 152-ФЗ </w:t>
      </w:r>
      <w:r>
        <w:rPr>
          <w:rFonts w:ascii="Arial" w:hAnsi="Arial" w:cs="Arial"/>
          <w:color w:val="000000"/>
          <w:spacing w:val="4"/>
          <w:sz w:val="22"/>
          <w:szCs w:val="22"/>
        </w:rPr>
        <w:t>«</w:t>
      </w:r>
      <w:r w:rsidRPr="003F4DA6">
        <w:rPr>
          <w:rFonts w:ascii="Arial" w:hAnsi="Arial" w:cs="Arial"/>
          <w:color w:val="000000"/>
          <w:spacing w:val="4"/>
          <w:sz w:val="22"/>
          <w:szCs w:val="22"/>
        </w:rPr>
        <w:t>О персональных данных</w:t>
      </w:r>
      <w:r>
        <w:rPr>
          <w:rFonts w:ascii="Arial" w:hAnsi="Arial" w:cs="Arial"/>
          <w:color w:val="000000"/>
          <w:spacing w:val="4"/>
          <w:sz w:val="22"/>
          <w:szCs w:val="22"/>
        </w:rPr>
        <w:t>»;</w:t>
      </w:r>
    </w:p>
    <w:p w14:paraId="4C15914C" w14:textId="63C251C6" w:rsidR="003F4DA6" w:rsidRDefault="003F4DA6" w:rsidP="00CA3FD3">
      <w:pPr>
        <w:jc w:val="both"/>
        <w:rPr>
          <w:rFonts w:ascii="Arial" w:hAnsi="Arial" w:cs="Arial"/>
          <w:sz w:val="22"/>
          <w:szCs w:val="22"/>
        </w:rPr>
      </w:pPr>
    </w:p>
    <w:p w14:paraId="7DFE8A74" w14:textId="3219D496" w:rsidR="00CA3FD3" w:rsidRDefault="003F4DA6" w:rsidP="00CA3F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Иные термины и определения, используемые</w:t>
      </w:r>
      <w:r w:rsidR="00CA3FD3">
        <w:rPr>
          <w:rFonts w:ascii="Arial" w:hAnsi="Arial" w:cs="Arial"/>
          <w:sz w:val="22"/>
          <w:szCs w:val="22"/>
        </w:rPr>
        <w:t xml:space="preserve"> в настоящих</w:t>
      </w:r>
      <w:r w:rsidR="009F1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="00CA3FD3">
        <w:rPr>
          <w:rFonts w:ascii="Arial" w:hAnsi="Arial" w:cs="Arial"/>
          <w:sz w:val="22"/>
          <w:szCs w:val="22"/>
        </w:rPr>
        <w:t>равилах</w:t>
      </w:r>
      <w:r w:rsidR="00D47FD9">
        <w:rPr>
          <w:rFonts w:ascii="Arial" w:hAnsi="Arial" w:cs="Arial"/>
          <w:sz w:val="22"/>
          <w:szCs w:val="22"/>
        </w:rPr>
        <w:t>,</w:t>
      </w:r>
      <w:r w:rsidR="00CA3FD3">
        <w:rPr>
          <w:rFonts w:ascii="Arial" w:hAnsi="Arial" w:cs="Arial"/>
          <w:sz w:val="22"/>
          <w:szCs w:val="22"/>
        </w:rPr>
        <w:t xml:space="preserve"> применяются в значении, определенном в Соглашении, если </w:t>
      </w:r>
      <w:r>
        <w:rPr>
          <w:rFonts w:ascii="Arial" w:hAnsi="Arial" w:cs="Arial"/>
          <w:sz w:val="22"/>
          <w:szCs w:val="22"/>
        </w:rPr>
        <w:t xml:space="preserve">из положений настоящих Правил прямо </w:t>
      </w:r>
      <w:r w:rsidR="00CA3FD3">
        <w:rPr>
          <w:rFonts w:ascii="Arial" w:hAnsi="Arial" w:cs="Arial"/>
          <w:sz w:val="22"/>
          <w:szCs w:val="22"/>
        </w:rPr>
        <w:t xml:space="preserve">не следует иное. </w:t>
      </w:r>
    </w:p>
    <w:p w14:paraId="5434407D" w14:textId="739AE701" w:rsidR="00CA3FD3" w:rsidRDefault="00CA3FD3" w:rsidP="00CA3FD3">
      <w:pPr>
        <w:jc w:val="both"/>
        <w:rPr>
          <w:rFonts w:ascii="Arial" w:hAnsi="Arial" w:cs="Arial"/>
          <w:sz w:val="22"/>
          <w:szCs w:val="22"/>
        </w:rPr>
      </w:pPr>
    </w:p>
    <w:p w14:paraId="79FD016D" w14:textId="2B4B5BC4" w:rsidR="00230B89" w:rsidRDefault="00CA3FD3" w:rsidP="00CA3FD3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Получающая Сторона</w:t>
      </w:r>
      <w:r w:rsidRPr="00CA3FD3">
        <w:rPr>
          <w:rFonts w:ascii="Arial" w:hAnsi="Arial" w:cs="Arial"/>
          <w:sz w:val="22"/>
          <w:szCs w:val="22"/>
        </w:rPr>
        <w:t xml:space="preserve"> признает, что в соответствии с </w:t>
      </w:r>
      <w:r>
        <w:rPr>
          <w:rFonts w:ascii="Arial" w:hAnsi="Arial" w:cs="Arial"/>
          <w:sz w:val="22"/>
          <w:szCs w:val="22"/>
        </w:rPr>
        <w:t>Соглашением</w:t>
      </w:r>
      <w:r w:rsidRPr="00CA3FD3">
        <w:rPr>
          <w:rFonts w:ascii="Arial" w:hAnsi="Arial" w:cs="Arial"/>
          <w:sz w:val="22"/>
          <w:szCs w:val="22"/>
        </w:rPr>
        <w:t xml:space="preserve"> является самостоятельно действующим оператором</w:t>
      </w:r>
      <w:r w:rsidR="009F143F">
        <w:rPr>
          <w:rStyle w:val="a9"/>
          <w:rFonts w:ascii="Arial" w:hAnsi="Arial" w:cs="Arial"/>
          <w:sz w:val="22"/>
          <w:szCs w:val="22"/>
        </w:rPr>
        <w:footnoteReference w:id="1"/>
      </w:r>
      <w:r w:rsidRPr="00CA3FD3">
        <w:rPr>
          <w:rFonts w:ascii="Arial" w:hAnsi="Arial" w:cs="Arial"/>
          <w:sz w:val="22"/>
          <w:szCs w:val="22"/>
        </w:rPr>
        <w:t xml:space="preserve"> в отношении </w:t>
      </w:r>
      <w:r w:rsidR="00230B89">
        <w:rPr>
          <w:rFonts w:ascii="Arial" w:hAnsi="Arial" w:cs="Arial"/>
          <w:sz w:val="22"/>
          <w:szCs w:val="22"/>
        </w:rPr>
        <w:t>П</w:t>
      </w:r>
      <w:r w:rsidRPr="00CA3FD3">
        <w:rPr>
          <w:rFonts w:ascii="Arial" w:hAnsi="Arial" w:cs="Arial"/>
          <w:sz w:val="22"/>
          <w:szCs w:val="22"/>
        </w:rPr>
        <w:t xml:space="preserve">ерсональных данных, полученных от </w:t>
      </w:r>
      <w:r w:rsidR="00230B89">
        <w:rPr>
          <w:rFonts w:ascii="Arial" w:hAnsi="Arial" w:cs="Arial"/>
          <w:sz w:val="22"/>
          <w:szCs w:val="22"/>
        </w:rPr>
        <w:t xml:space="preserve">Раскрывающей </w:t>
      </w:r>
      <w:r w:rsidRPr="00CA3FD3">
        <w:rPr>
          <w:rFonts w:ascii="Arial" w:hAnsi="Arial" w:cs="Arial"/>
          <w:sz w:val="22"/>
          <w:szCs w:val="22"/>
        </w:rPr>
        <w:t>Стороны, которая также является самостоятельно действующим оператором</w:t>
      </w:r>
      <w:r w:rsidR="0097236A">
        <w:rPr>
          <w:rFonts w:ascii="Arial" w:hAnsi="Arial" w:cs="Arial"/>
          <w:sz w:val="22"/>
          <w:szCs w:val="22"/>
        </w:rPr>
        <w:t>. К</w:t>
      </w:r>
      <w:r w:rsidR="00230B89">
        <w:rPr>
          <w:rFonts w:ascii="Arial" w:hAnsi="Arial" w:cs="Arial"/>
          <w:sz w:val="22"/>
          <w:szCs w:val="22"/>
        </w:rPr>
        <w:t xml:space="preserve">аждая из </w:t>
      </w:r>
      <w:r w:rsidR="0097236A">
        <w:rPr>
          <w:rFonts w:ascii="Arial" w:hAnsi="Arial" w:cs="Arial"/>
          <w:sz w:val="22"/>
          <w:szCs w:val="22"/>
        </w:rPr>
        <w:t>Сторон</w:t>
      </w:r>
      <w:r w:rsidR="00230B89">
        <w:rPr>
          <w:rFonts w:ascii="Arial" w:hAnsi="Arial" w:cs="Arial"/>
          <w:sz w:val="22"/>
          <w:szCs w:val="22"/>
        </w:rPr>
        <w:t xml:space="preserve"> </w:t>
      </w:r>
      <w:r w:rsidRPr="00CA3FD3">
        <w:rPr>
          <w:rFonts w:ascii="Arial" w:hAnsi="Arial" w:cs="Arial"/>
          <w:sz w:val="22"/>
          <w:szCs w:val="22"/>
        </w:rPr>
        <w:t xml:space="preserve">определяет цели и порядок передачи </w:t>
      </w:r>
      <w:r w:rsidR="00230B89">
        <w:rPr>
          <w:rFonts w:ascii="Arial" w:hAnsi="Arial" w:cs="Arial"/>
          <w:sz w:val="22"/>
          <w:szCs w:val="22"/>
        </w:rPr>
        <w:t>П</w:t>
      </w:r>
      <w:r w:rsidRPr="00CA3FD3">
        <w:rPr>
          <w:rFonts w:ascii="Arial" w:hAnsi="Arial" w:cs="Arial"/>
          <w:sz w:val="22"/>
          <w:szCs w:val="22"/>
        </w:rPr>
        <w:t xml:space="preserve">ерсональных данных между </w:t>
      </w:r>
      <w:r w:rsidR="0097236A">
        <w:rPr>
          <w:rFonts w:ascii="Arial" w:hAnsi="Arial" w:cs="Arial"/>
          <w:sz w:val="22"/>
          <w:szCs w:val="22"/>
        </w:rPr>
        <w:t>друг другом</w:t>
      </w:r>
      <w:r w:rsidRPr="00CA3FD3">
        <w:rPr>
          <w:rFonts w:ascii="Arial" w:hAnsi="Arial" w:cs="Arial"/>
          <w:sz w:val="22"/>
          <w:szCs w:val="22"/>
        </w:rPr>
        <w:t xml:space="preserve">, если иное прямо не предусмотрено применимым законодательством или не указано в поручении обработки персональных данных между Сторонами. </w:t>
      </w:r>
    </w:p>
    <w:p w14:paraId="6269240E" w14:textId="77777777" w:rsidR="00230B89" w:rsidRPr="00230B89" w:rsidRDefault="00230B89" w:rsidP="00CA3FD3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2.</w:t>
      </w:r>
      <w:r w:rsidRPr="00230B89">
        <w:rPr>
          <w:rFonts w:ascii="Arial" w:hAnsi="Arial" w:cs="Arial"/>
          <w:sz w:val="22"/>
          <w:szCs w:val="22"/>
        </w:rPr>
        <w:t xml:space="preserve"> Стороны заверяют и гарантируют:</w:t>
      </w:r>
    </w:p>
    <w:p w14:paraId="121EC454" w14:textId="6F4B68D6" w:rsidR="00230B89" w:rsidRPr="00230B89" w:rsidRDefault="00230B89" w:rsidP="00230B89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(а)</w:t>
      </w:r>
      <w:r w:rsidRPr="00230B89">
        <w:rPr>
          <w:rFonts w:ascii="Arial" w:hAnsi="Arial" w:cs="Arial"/>
          <w:sz w:val="22"/>
          <w:szCs w:val="22"/>
        </w:rPr>
        <w:t xml:space="preserve"> правомерность передачи Персональных данных друг другу и последующей обработки</w:t>
      </w:r>
      <w:r w:rsidR="0097236A">
        <w:rPr>
          <w:rFonts w:ascii="Arial" w:hAnsi="Arial" w:cs="Arial"/>
          <w:sz w:val="22"/>
          <w:szCs w:val="22"/>
        </w:rPr>
        <w:t xml:space="preserve"> </w:t>
      </w:r>
      <w:r w:rsidR="0097236A" w:rsidRPr="00230B89">
        <w:rPr>
          <w:rFonts w:ascii="Arial" w:hAnsi="Arial" w:cs="Arial"/>
          <w:sz w:val="22"/>
          <w:szCs w:val="22"/>
        </w:rPr>
        <w:t>для достижения целей</w:t>
      </w:r>
      <w:r w:rsidR="0097236A">
        <w:rPr>
          <w:rFonts w:ascii="Arial" w:hAnsi="Arial" w:cs="Arial"/>
          <w:sz w:val="22"/>
          <w:szCs w:val="22"/>
        </w:rPr>
        <w:t xml:space="preserve"> обработки</w:t>
      </w:r>
      <w:r w:rsidR="0097236A" w:rsidRPr="00230B89">
        <w:rPr>
          <w:rFonts w:ascii="Arial" w:hAnsi="Arial" w:cs="Arial"/>
          <w:sz w:val="22"/>
          <w:szCs w:val="22"/>
        </w:rPr>
        <w:t>,</w:t>
      </w:r>
      <w:r w:rsidR="0097236A">
        <w:rPr>
          <w:rFonts w:ascii="Arial" w:hAnsi="Arial" w:cs="Arial"/>
          <w:sz w:val="22"/>
          <w:szCs w:val="22"/>
        </w:rPr>
        <w:t xml:space="preserve"> указанных в п. 3 настоящих Правил</w:t>
      </w:r>
      <w:r w:rsidRPr="00230B89">
        <w:rPr>
          <w:rFonts w:ascii="Arial" w:hAnsi="Arial" w:cs="Arial"/>
          <w:sz w:val="22"/>
          <w:szCs w:val="22"/>
        </w:rPr>
        <w:t xml:space="preserve"> полученных друг от друга Персональных данных в соответствии с Соглашением с соблюдением требований применимого законодательства Российской Федерации;</w:t>
      </w:r>
    </w:p>
    <w:p w14:paraId="492D9219" w14:textId="431C32CD" w:rsidR="00230B89" w:rsidRPr="00230B89" w:rsidRDefault="00230B89" w:rsidP="00230B89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(б)</w:t>
      </w:r>
      <w:r w:rsidRPr="00230B89">
        <w:rPr>
          <w:rFonts w:ascii="Arial" w:hAnsi="Arial" w:cs="Arial"/>
          <w:sz w:val="22"/>
          <w:szCs w:val="22"/>
        </w:rPr>
        <w:t xml:space="preserve"> надлежащее уведомление Субъектов персональных данных о такой передаче и последующей обработке их Персональных данных, если этого требует применимое законодательство, для достижения целей</w:t>
      </w:r>
      <w:r>
        <w:rPr>
          <w:rFonts w:ascii="Arial" w:hAnsi="Arial" w:cs="Arial"/>
          <w:sz w:val="22"/>
          <w:szCs w:val="22"/>
        </w:rPr>
        <w:t xml:space="preserve"> обработки</w:t>
      </w:r>
      <w:r w:rsidRPr="00230B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указанных в п. 3 настоящих Правил</w:t>
      </w:r>
      <w:r w:rsidR="009F143F">
        <w:rPr>
          <w:rFonts w:ascii="Arial" w:hAnsi="Arial" w:cs="Arial"/>
          <w:sz w:val="22"/>
          <w:szCs w:val="22"/>
        </w:rPr>
        <w:t>.</w:t>
      </w:r>
    </w:p>
    <w:p w14:paraId="24689A00" w14:textId="4FF1CCE8" w:rsidR="00230B89" w:rsidRDefault="00230B89" w:rsidP="00CA3FD3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Передача Персональных данных Раскрывающей Стороной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и их последующая обработка Получающей Стороной может осуществляться в следующих целях (далее – «Цели обработки»):</w:t>
      </w:r>
    </w:p>
    <w:p w14:paraId="6E123770" w14:textId="40E4DDCB" w:rsidR="00F80E8A" w:rsidRDefault="00230B89" w:rsidP="00CA3FD3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(а)</w:t>
      </w:r>
      <w:r>
        <w:rPr>
          <w:rFonts w:ascii="Arial" w:hAnsi="Arial" w:cs="Arial"/>
          <w:sz w:val="22"/>
          <w:szCs w:val="22"/>
        </w:rPr>
        <w:t xml:space="preserve"> </w:t>
      </w:r>
      <w:r w:rsidR="00F80E8A">
        <w:rPr>
          <w:rFonts w:ascii="Arial" w:hAnsi="Arial" w:cs="Arial"/>
          <w:sz w:val="22"/>
          <w:szCs w:val="22"/>
        </w:rPr>
        <w:t>управление персоналом;</w:t>
      </w:r>
    </w:p>
    <w:p w14:paraId="19095023" w14:textId="054B389C" w:rsidR="00905939" w:rsidRPr="00905939" w:rsidRDefault="00F80E8A" w:rsidP="00CA3FD3">
      <w:pPr>
        <w:jc w:val="both"/>
        <w:rPr>
          <w:rFonts w:ascii="Arial" w:hAnsi="Arial" w:cs="Arial"/>
          <w:sz w:val="22"/>
          <w:szCs w:val="22"/>
        </w:rPr>
      </w:pPr>
      <w:r w:rsidRPr="00F80E8A">
        <w:rPr>
          <w:rFonts w:ascii="Arial" w:hAnsi="Arial" w:cs="Arial"/>
          <w:b/>
          <w:sz w:val="22"/>
          <w:szCs w:val="22"/>
        </w:rPr>
        <w:t>(б)</w:t>
      </w:r>
      <w:r>
        <w:rPr>
          <w:rFonts w:ascii="Arial" w:hAnsi="Arial" w:cs="Arial"/>
          <w:sz w:val="22"/>
          <w:szCs w:val="22"/>
        </w:rPr>
        <w:t xml:space="preserve"> </w:t>
      </w:r>
      <w:r w:rsidR="00230B89">
        <w:rPr>
          <w:rFonts w:ascii="Arial" w:hAnsi="Arial" w:cs="Arial"/>
          <w:sz w:val="22"/>
          <w:szCs w:val="22"/>
        </w:rPr>
        <w:t>обеспечение безопасности деятельности</w:t>
      </w:r>
      <w:r w:rsidR="00905939">
        <w:rPr>
          <w:rFonts w:ascii="Arial" w:hAnsi="Arial" w:cs="Arial"/>
          <w:sz w:val="22"/>
          <w:szCs w:val="22"/>
        </w:rPr>
        <w:t>;</w:t>
      </w:r>
    </w:p>
    <w:p w14:paraId="148323A8" w14:textId="12F5340B" w:rsidR="00FF1251" w:rsidRDefault="00905939" w:rsidP="00CA3FD3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(</w:t>
      </w:r>
      <w:r w:rsidR="009E21F6">
        <w:rPr>
          <w:rFonts w:ascii="Arial" w:hAnsi="Arial" w:cs="Arial"/>
          <w:b/>
          <w:sz w:val="22"/>
          <w:szCs w:val="22"/>
        </w:rPr>
        <w:t>в</w:t>
      </w:r>
      <w:r w:rsidRPr="00D47FD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FF1251">
        <w:rPr>
          <w:rFonts w:ascii="Arial" w:hAnsi="Arial" w:cs="Arial"/>
          <w:sz w:val="22"/>
          <w:szCs w:val="22"/>
        </w:rPr>
        <w:t>и</w:t>
      </w:r>
      <w:r w:rsidR="00FF1251" w:rsidRPr="00FF1251">
        <w:rPr>
          <w:rFonts w:ascii="Arial" w:hAnsi="Arial" w:cs="Arial"/>
          <w:sz w:val="22"/>
          <w:szCs w:val="22"/>
        </w:rPr>
        <w:t>нформационно-технологическое обеспечение деятельности</w:t>
      </w:r>
      <w:r w:rsidR="00FF1251">
        <w:rPr>
          <w:rFonts w:ascii="Arial" w:hAnsi="Arial" w:cs="Arial"/>
          <w:sz w:val="22"/>
          <w:szCs w:val="22"/>
        </w:rPr>
        <w:t>;</w:t>
      </w:r>
    </w:p>
    <w:p w14:paraId="53C86A09" w14:textId="49327D13" w:rsidR="008064F3" w:rsidRDefault="008064F3" w:rsidP="00CA3FD3">
      <w:pPr>
        <w:jc w:val="both"/>
        <w:rPr>
          <w:rFonts w:ascii="Arial" w:hAnsi="Arial" w:cs="Arial"/>
          <w:sz w:val="22"/>
          <w:szCs w:val="22"/>
        </w:rPr>
      </w:pPr>
      <w:r w:rsidRPr="003712B8">
        <w:rPr>
          <w:rFonts w:ascii="Arial" w:hAnsi="Arial" w:cs="Arial"/>
          <w:b/>
          <w:sz w:val="22"/>
          <w:szCs w:val="22"/>
        </w:rPr>
        <w:t>(</w:t>
      </w:r>
      <w:r w:rsidR="009E21F6">
        <w:rPr>
          <w:rFonts w:ascii="Arial" w:hAnsi="Arial" w:cs="Arial"/>
          <w:b/>
          <w:sz w:val="22"/>
          <w:szCs w:val="22"/>
        </w:rPr>
        <w:t>г</w:t>
      </w:r>
      <w:r w:rsidRPr="003712B8">
        <w:rPr>
          <w:rFonts w:ascii="Arial" w:hAnsi="Arial" w:cs="Arial"/>
          <w:b/>
          <w:sz w:val="22"/>
          <w:szCs w:val="22"/>
        </w:rPr>
        <w:t xml:space="preserve">) </w:t>
      </w:r>
      <w:r w:rsidR="003712B8">
        <w:rPr>
          <w:rFonts w:ascii="Arial" w:hAnsi="Arial" w:cs="Arial"/>
          <w:sz w:val="22"/>
          <w:szCs w:val="22"/>
        </w:rPr>
        <w:t>о</w:t>
      </w:r>
      <w:r w:rsidR="003712B8" w:rsidRPr="003712B8">
        <w:rPr>
          <w:rFonts w:ascii="Arial" w:hAnsi="Arial" w:cs="Arial"/>
          <w:sz w:val="22"/>
          <w:szCs w:val="22"/>
        </w:rPr>
        <w:t>беспечение эффективности и устойчивости деятельности</w:t>
      </w:r>
    </w:p>
    <w:p w14:paraId="473237EF" w14:textId="44EE6870" w:rsidR="00230B89" w:rsidRDefault="00FF1251" w:rsidP="00CA3FD3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(</w:t>
      </w:r>
      <w:r w:rsidR="009E21F6">
        <w:rPr>
          <w:rFonts w:ascii="Arial" w:hAnsi="Arial" w:cs="Arial"/>
          <w:b/>
          <w:sz w:val="22"/>
          <w:szCs w:val="22"/>
        </w:rPr>
        <w:t>д</w:t>
      </w:r>
      <w:r w:rsidRPr="00D47FD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с</w:t>
      </w:r>
      <w:r w:rsidRPr="00FF1251">
        <w:rPr>
          <w:rFonts w:ascii="Arial" w:hAnsi="Arial" w:cs="Arial"/>
          <w:sz w:val="22"/>
          <w:szCs w:val="22"/>
        </w:rPr>
        <w:t>опровождение и поддержка деятельности</w:t>
      </w:r>
      <w:r>
        <w:rPr>
          <w:rFonts w:ascii="Arial" w:hAnsi="Arial" w:cs="Arial"/>
          <w:sz w:val="22"/>
          <w:szCs w:val="22"/>
        </w:rPr>
        <w:t>;</w:t>
      </w:r>
    </w:p>
    <w:p w14:paraId="700AFF80" w14:textId="16417F33" w:rsidR="00FF1251" w:rsidRDefault="00FF1251" w:rsidP="00CA3FD3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(</w:t>
      </w:r>
      <w:r w:rsidR="009E21F6">
        <w:rPr>
          <w:rFonts w:ascii="Arial" w:hAnsi="Arial" w:cs="Arial"/>
          <w:b/>
          <w:sz w:val="22"/>
          <w:szCs w:val="22"/>
        </w:rPr>
        <w:t>е</w:t>
      </w:r>
      <w:r w:rsidRPr="00D47FD9">
        <w:rPr>
          <w:rFonts w:ascii="Arial" w:hAnsi="Arial" w:cs="Arial"/>
          <w:b/>
          <w:sz w:val="22"/>
          <w:szCs w:val="22"/>
        </w:rPr>
        <w:t>)</w:t>
      </w:r>
      <w:r w:rsidRPr="00FF1251"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Pr="00FF1251">
        <w:rPr>
          <w:rFonts w:ascii="Arial" w:hAnsi="Arial" w:cs="Arial"/>
          <w:sz w:val="22"/>
          <w:szCs w:val="22"/>
        </w:rPr>
        <w:t>овершенствование и развитие деятельности</w:t>
      </w:r>
      <w:r>
        <w:rPr>
          <w:rFonts w:ascii="Arial" w:hAnsi="Arial" w:cs="Arial"/>
          <w:sz w:val="22"/>
          <w:szCs w:val="22"/>
        </w:rPr>
        <w:t>;</w:t>
      </w:r>
    </w:p>
    <w:p w14:paraId="798ADA2D" w14:textId="0C406093" w:rsidR="00FF1251" w:rsidRDefault="00FF1251" w:rsidP="00CA3FD3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(</w:t>
      </w:r>
      <w:r w:rsidR="009E21F6">
        <w:rPr>
          <w:rFonts w:ascii="Arial" w:hAnsi="Arial" w:cs="Arial"/>
          <w:b/>
          <w:sz w:val="22"/>
          <w:szCs w:val="22"/>
        </w:rPr>
        <w:t>ж</w:t>
      </w:r>
      <w:r w:rsidRPr="00D47FD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в</w:t>
      </w:r>
      <w:r w:rsidRPr="00FF1251">
        <w:rPr>
          <w:rFonts w:ascii="Arial" w:hAnsi="Arial" w:cs="Arial"/>
          <w:sz w:val="22"/>
          <w:szCs w:val="22"/>
        </w:rPr>
        <w:t>едение основной деятельности</w:t>
      </w:r>
      <w:r w:rsidR="003D096D">
        <w:rPr>
          <w:rFonts w:ascii="Arial" w:hAnsi="Arial" w:cs="Arial"/>
          <w:sz w:val="22"/>
          <w:szCs w:val="22"/>
        </w:rPr>
        <w:t>.</w:t>
      </w:r>
    </w:p>
    <w:p w14:paraId="3F953288" w14:textId="2B3F4F4A" w:rsidR="009F143F" w:rsidRDefault="009F143F" w:rsidP="00CA3F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Обработка Персональных данных может осуществляться </w:t>
      </w:r>
      <w:r w:rsidRPr="009F143F">
        <w:rPr>
          <w:rFonts w:ascii="Arial" w:hAnsi="Arial" w:cs="Arial"/>
          <w:sz w:val="22"/>
          <w:szCs w:val="22"/>
        </w:rPr>
        <w:t xml:space="preserve">также </w:t>
      </w:r>
      <w:r>
        <w:rPr>
          <w:rFonts w:ascii="Arial" w:hAnsi="Arial" w:cs="Arial"/>
          <w:sz w:val="22"/>
          <w:szCs w:val="22"/>
        </w:rPr>
        <w:t>для</w:t>
      </w:r>
      <w:r w:rsidRPr="009F143F">
        <w:rPr>
          <w:rFonts w:ascii="Arial" w:hAnsi="Arial" w:cs="Arial"/>
          <w:sz w:val="22"/>
          <w:szCs w:val="22"/>
        </w:rPr>
        <w:t xml:space="preserve"> осуществлени</w:t>
      </w:r>
      <w:r>
        <w:rPr>
          <w:rFonts w:ascii="Arial" w:hAnsi="Arial" w:cs="Arial"/>
          <w:sz w:val="22"/>
          <w:szCs w:val="22"/>
        </w:rPr>
        <w:t>я</w:t>
      </w:r>
      <w:r w:rsidRPr="009F143F">
        <w:rPr>
          <w:rFonts w:ascii="Arial" w:hAnsi="Arial" w:cs="Arial"/>
          <w:sz w:val="22"/>
          <w:szCs w:val="22"/>
        </w:rPr>
        <w:t>, выполнени</w:t>
      </w:r>
      <w:r>
        <w:rPr>
          <w:rFonts w:ascii="Arial" w:hAnsi="Arial" w:cs="Arial"/>
          <w:sz w:val="22"/>
          <w:szCs w:val="22"/>
        </w:rPr>
        <w:t>я</w:t>
      </w:r>
      <w:r w:rsidRPr="009F143F">
        <w:rPr>
          <w:rFonts w:ascii="Arial" w:hAnsi="Arial" w:cs="Arial"/>
          <w:sz w:val="22"/>
          <w:szCs w:val="22"/>
        </w:rPr>
        <w:t xml:space="preserve"> и соблюдени</w:t>
      </w:r>
      <w:r>
        <w:rPr>
          <w:rFonts w:ascii="Arial" w:hAnsi="Arial" w:cs="Arial"/>
          <w:sz w:val="22"/>
          <w:szCs w:val="22"/>
        </w:rPr>
        <w:t>я</w:t>
      </w:r>
      <w:r w:rsidRPr="009F143F">
        <w:rPr>
          <w:rFonts w:ascii="Arial" w:hAnsi="Arial" w:cs="Arial"/>
          <w:sz w:val="22"/>
          <w:szCs w:val="22"/>
        </w:rPr>
        <w:t xml:space="preserve"> Сторонами прав, обязанностей и запретов, предусмотренных применимыми нормами, которые включают, но не ограничиваются этим, нормы применимого законодательства.</w:t>
      </w:r>
    </w:p>
    <w:p w14:paraId="7AD81DD4" w14:textId="17B35342" w:rsidR="00CA3FD3" w:rsidRDefault="00FF1251" w:rsidP="00CA3FD3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="00CA3FD3" w:rsidRPr="00CA3FD3">
        <w:rPr>
          <w:rFonts w:ascii="Arial" w:hAnsi="Arial" w:cs="Arial"/>
          <w:sz w:val="22"/>
          <w:szCs w:val="22"/>
        </w:rPr>
        <w:t xml:space="preserve">Получающая Сторона вправе совершать действия (операции) с полученными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 xml:space="preserve">ерсональными данными способами, предусмотренными применимым законодательством и в объеме, необходимом для достижения предусмотренных </w:t>
      </w:r>
      <w:r>
        <w:rPr>
          <w:rFonts w:ascii="Arial" w:hAnsi="Arial" w:cs="Arial"/>
          <w:sz w:val="22"/>
          <w:szCs w:val="22"/>
        </w:rPr>
        <w:t>Ц</w:t>
      </w:r>
      <w:r w:rsidR="00CA3FD3" w:rsidRPr="00CA3FD3">
        <w:rPr>
          <w:rFonts w:ascii="Arial" w:hAnsi="Arial" w:cs="Arial"/>
          <w:sz w:val="22"/>
          <w:szCs w:val="22"/>
        </w:rPr>
        <w:t>елей обработки</w:t>
      </w:r>
      <w:r>
        <w:rPr>
          <w:rFonts w:ascii="Arial" w:hAnsi="Arial" w:cs="Arial"/>
          <w:sz w:val="22"/>
          <w:szCs w:val="22"/>
        </w:rPr>
        <w:t>.</w:t>
      </w:r>
      <w:r w:rsidR="00CA3FD3" w:rsidRPr="00CA3FD3">
        <w:rPr>
          <w:rFonts w:ascii="Arial" w:hAnsi="Arial" w:cs="Arial"/>
          <w:sz w:val="22"/>
          <w:szCs w:val="22"/>
        </w:rPr>
        <w:t xml:space="preserve"> Передача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 xml:space="preserve">ерсональных данных между Сторонами не рассматривается Сторонами как поручение обработки </w:t>
      </w:r>
      <w:r w:rsidR="00CA3FD3" w:rsidRPr="00CA3FD3">
        <w:rPr>
          <w:rFonts w:ascii="Arial" w:hAnsi="Arial" w:cs="Arial"/>
          <w:sz w:val="22"/>
          <w:szCs w:val="22"/>
        </w:rPr>
        <w:lastRenderedPageBreak/>
        <w:t>персональных данных</w:t>
      </w:r>
      <w:r>
        <w:rPr>
          <w:rFonts w:ascii="Arial" w:hAnsi="Arial" w:cs="Arial"/>
          <w:sz w:val="22"/>
          <w:szCs w:val="22"/>
        </w:rPr>
        <w:t>, если иное прямо не согласовано между Раскрывающей Стороной и Получающей Стороной</w:t>
      </w:r>
      <w:r w:rsidR="00CA3FD3" w:rsidRPr="00CA3FD3">
        <w:rPr>
          <w:rFonts w:ascii="Arial" w:hAnsi="Arial" w:cs="Arial"/>
          <w:sz w:val="22"/>
          <w:szCs w:val="22"/>
        </w:rPr>
        <w:t>.</w:t>
      </w:r>
    </w:p>
    <w:p w14:paraId="62FF7ED0" w14:textId="32313735" w:rsidR="00CA3FD3" w:rsidRPr="00CA3FD3" w:rsidRDefault="00FF1251" w:rsidP="00CA3FD3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="00CA3FD3" w:rsidRPr="00CA3FD3">
        <w:rPr>
          <w:rFonts w:ascii="Arial" w:hAnsi="Arial" w:cs="Arial"/>
          <w:sz w:val="22"/>
          <w:szCs w:val="22"/>
        </w:rPr>
        <w:t xml:space="preserve">Получающая Сторона обязуется прекратить или обеспечить прекращение обработки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 xml:space="preserve">ерсональных данных путем уничтожения персональных данных, полученных от </w:t>
      </w:r>
      <w:r w:rsidR="009F143F">
        <w:rPr>
          <w:rFonts w:ascii="Arial" w:hAnsi="Arial" w:cs="Arial"/>
          <w:sz w:val="22"/>
          <w:szCs w:val="22"/>
        </w:rPr>
        <w:t>Раскрывающей</w:t>
      </w:r>
      <w:r w:rsidR="00CA3FD3" w:rsidRPr="00CA3FD3">
        <w:rPr>
          <w:rFonts w:ascii="Arial" w:hAnsi="Arial" w:cs="Arial"/>
          <w:sz w:val="22"/>
          <w:szCs w:val="22"/>
        </w:rPr>
        <w:t xml:space="preserve"> Стороны в соответствии с </w:t>
      </w:r>
      <w:r w:rsidR="009F143F">
        <w:rPr>
          <w:rFonts w:ascii="Arial" w:hAnsi="Arial" w:cs="Arial"/>
          <w:sz w:val="22"/>
          <w:szCs w:val="22"/>
        </w:rPr>
        <w:t>Соглашением</w:t>
      </w:r>
      <w:r w:rsidR="00CA3FD3" w:rsidRPr="00CA3FD3">
        <w:rPr>
          <w:rFonts w:ascii="Arial" w:hAnsi="Arial" w:cs="Arial"/>
          <w:sz w:val="22"/>
          <w:szCs w:val="22"/>
        </w:rPr>
        <w:t xml:space="preserve">, по достижении предусмотренных </w:t>
      </w:r>
      <w:r w:rsidR="009F143F">
        <w:rPr>
          <w:rFonts w:ascii="Arial" w:hAnsi="Arial" w:cs="Arial"/>
          <w:sz w:val="22"/>
          <w:szCs w:val="22"/>
        </w:rPr>
        <w:t>Ц</w:t>
      </w:r>
      <w:r w:rsidR="00CA3FD3" w:rsidRPr="00CA3FD3">
        <w:rPr>
          <w:rFonts w:ascii="Arial" w:hAnsi="Arial" w:cs="Arial"/>
          <w:sz w:val="22"/>
          <w:szCs w:val="22"/>
        </w:rPr>
        <w:t>елей</w:t>
      </w:r>
      <w:r w:rsidR="009F143F">
        <w:rPr>
          <w:rFonts w:ascii="Arial" w:hAnsi="Arial" w:cs="Arial"/>
          <w:sz w:val="22"/>
          <w:szCs w:val="22"/>
        </w:rPr>
        <w:t xml:space="preserve"> обработки</w:t>
      </w:r>
      <w:r w:rsidR="00CA3FD3" w:rsidRPr="00CA3FD3">
        <w:rPr>
          <w:rFonts w:ascii="Arial" w:hAnsi="Arial" w:cs="Arial"/>
          <w:sz w:val="22"/>
          <w:szCs w:val="22"/>
        </w:rPr>
        <w:t xml:space="preserve"> или в случае утраты необходимости в</w:t>
      </w:r>
      <w:r w:rsidR="009F143F">
        <w:rPr>
          <w:rFonts w:ascii="Arial" w:hAnsi="Arial" w:cs="Arial"/>
          <w:sz w:val="22"/>
          <w:szCs w:val="22"/>
        </w:rPr>
        <w:t xml:space="preserve"> их</w:t>
      </w:r>
      <w:r w:rsidR="00CA3FD3" w:rsidRPr="00CA3FD3">
        <w:rPr>
          <w:rFonts w:ascii="Arial" w:hAnsi="Arial" w:cs="Arial"/>
          <w:sz w:val="22"/>
          <w:szCs w:val="22"/>
        </w:rPr>
        <w:t xml:space="preserve"> достижении, а также в случае невозможности обеспечения правомерности обработки </w:t>
      </w:r>
      <w:r w:rsidR="009F143F"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>ерсональных данных, если иное не предусмотрено применимым законодательством.</w:t>
      </w:r>
    </w:p>
    <w:p w14:paraId="7EB0ED91" w14:textId="697F062F" w:rsidR="00CA3FD3" w:rsidRPr="00CA3FD3" w:rsidRDefault="009F143F" w:rsidP="00CA3FD3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="00CA3FD3" w:rsidRPr="00CA3FD3">
        <w:rPr>
          <w:rFonts w:ascii="Arial" w:hAnsi="Arial" w:cs="Arial"/>
          <w:sz w:val="22"/>
          <w:szCs w:val="22"/>
        </w:rPr>
        <w:t xml:space="preserve">Стороны заверяют и гарантируют обеспечение конфиденциальности и безопасности полученных друг от друга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 xml:space="preserve">ерсональных данных при их обработке в соответствии с требованиями применимого законодательства и договорённостями между Сторонами. Стороны обязуются принимать необходимые правовые, организационные и технические меры или обеспечивать их принятие для защиты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>ерсональных данных при их передаче между Сторонами посредством электронных каналов связи, машинных и бумажных носителей информации или иным способом.</w:t>
      </w:r>
    </w:p>
    <w:p w14:paraId="6496C51E" w14:textId="50FBD795" w:rsidR="00CA3FD3" w:rsidRPr="00CA3FD3" w:rsidRDefault="009F143F" w:rsidP="00CA3FD3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7.</w:t>
      </w:r>
      <w:r w:rsidR="00CA3FD3" w:rsidRPr="00CA3FD3">
        <w:rPr>
          <w:rFonts w:ascii="Arial" w:hAnsi="Arial" w:cs="Arial"/>
          <w:sz w:val="22"/>
          <w:szCs w:val="22"/>
        </w:rPr>
        <w:tab/>
        <w:t xml:space="preserve">В предусмотренных </w:t>
      </w:r>
      <w:r>
        <w:rPr>
          <w:rFonts w:ascii="Arial" w:hAnsi="Arial" w:cs="Arial"/>
          <w:sz w:val="22"/>
          <w:szCs w:val="22"/>
        </w:rPr>
        <w:t>Ц</w:t>
      </w:r>
      <w:r w:rsidR="00CA3FD3" w:rsidRPr="00CA3FD3">
        <w:rPr>
          <w:rFonts w:ascii="Arial" w:hAnsi="Arial" w:cs="Arial"/>
          <w:sz w:val="22"/>
          <w:szCs w:val="22"/>
        </w:rPr>
        <w:t>елях</w:t>
      </w:r>
      <w:r>
        <w:rPr>
          <w:rFonts w:ascii="Arial" w:hAnsi="Arial" w:cs="Arial"/>
          <w:sz w:val="22"/>
          <w:szCs w:val="22"/>
        </w:rPr>
        <w:t xml:space="preserve"> обработки</w:t>
      </w:r>
      <w:r w:rsidR="00CA3FD3" w:rsidRPr="00CA3F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 xml:space="preserve">олучающая Сторона имеет право самостоятельно осуществлять обработку и (или) привлекать третьих лиц (включая отдельно взятых </w:t>
      </w:r>
      <w:r>
        <w:rPr>
          <w:rFonts w:ascii="Arial" w:hAnsi="Arial" w:cs="Arial"/>
          <w:sz w:val="22"/>
          <w:szCs w:val="22"/>
        </w:rPr>
        <w:t>Аффилированных лиц</w:t>
      </w:r>
      <w:r w:rsidR="00CA3FD3" w:rsidRPr="00CA3FD3">
        <w:rPr>
          <w:rFonts w:ascii="Arial" w:hAnsi="Arial" w:cs="Arial"/>
          <w:sz w:val="22"/>
          <w:szCs w:val="22"/>
        </w:rPr>
        <w:t xml:space="preserve">) к обработке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 xml:space="preserve">ерсональных данных, полученных от </w:t>
      </w:r>
      <w:r>
        <w:rPr>
          <w:rFonts w:ascii="Arial" w:hAnsi="Arial" w:cs="Arial"/>
          <w:sz w:val="22"/>
          <w:szCs w:val="22"/>
        </w:rPr>
        <w:t>Раскрывающей</w:t>
      </w:r>
      <w:r w:rsidR="00CA3FD3" w:rsidRPr="00CA3FD3">
        <w:rPr>
          <w:rFonts w:ascii="Arial" w:hAnsi="Arial" w:cs="Arial"/>
          <w:sz w:val="22"/>
          <w:szCs w:val="22"/>
        </w:rPr>
        <w:t xml:space="preserve"> Стороны, путем поручения третьим лицам обработки указанных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 xml:space="preserve">ерсональных данных и (или) путем передачи третьим лицам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 xml:space="preserve">ерсональных данных без поручения </w:t>
      </w:r>
      <w:r>
        <w:rPr>
          <w:rFonts w:ascii="Arial" w:hAnsi="Arial" w:cs="Arial"/>
          <w:sz w:val="22"/>
          <w:szCs w:val="22"/>
        </w:rPr>
        <w:t xml:space="preserve">их </w:t>
      </w:r>
      <w:r w:rsidR="00CA3FD3" w:rsidRPr="00CA3FD3">
        <w:rPr>
          <w:rFonts w:ascii="Arial" w:hAnsi="Arial" w:cs="Arial"/>
          <w:sz w:val="22"/>
          <w:szCs w:val="22"/>
        </w:rPr>
        <w:t xml:space="preserve">обработки. Привлечение третьих лиц к обработке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 xml:space="preserve">ерсональных данных может осуществляться только при условии самостоятельного обеспечения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 xml:space="preserve">олучающей Стороной соответствующих правовых оснований и при условии обеспечения третьими лицами конфиденциальности и безопасности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>ерсональных данных при их обработке.</w:t>
      </w:r>
    </w:p>
    <w:p w14:paraId="0714EA0A" w14:textId="147ABFD7" w:rsidR="00CA3FD3" w:rsidRPr="00CA3FD3" w:rsidRDefault="009F143F" w:rsidP="00CA3FD3">
      <w:pPr>
        <w:jc w:val="both"/>
        <w:rPr>
          <w:rFonts w:ascii="Arial" w:hAnsi="Arial" w:cs="Arial"/>
          <w:sz w:val="22"/>
          <w:szCs w:val="22"/>
        </w:rPr>
      </w:pPr>
      <w:r w:rsidRPr="00D47FD9"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="00CA3FD3" w:rsidRPr="00CA3FD3">
        <w:rPr>
          <w:rFonts w:ascii="Arial" w:hAnsi="Arial" w:cs="Arial"/>
          <w:sz w:val="22"/>
          <w:szCs w:val="22"/>
        </w:rPr>
        <w:t xml:space="preserve">Настоящим Стороны соглашаются добросовестно сотрудничать и оказывать необходимое разумное содействие друг другу в случае прекращения действия согласия </w:t>
      </w:r>
      <w:r>
        <w:rPr>
          <w:rFonts w:ascii="Arial" w:hAnsi="Arial" w:cs="Arial"/>
          <w:sz w:val="22"/>
          <w:szCs w:val="22"/>
        </w:rPr>
        <w:t>С</w:t>
      </w:r>
      <w:r w:rsidR="00CA3FD3" w:rsidRPr="00CA3FD3">
        <w:rPr>
          <w:rFonts w:ascii="Arial" w:hAnsi="Arial" w:cs="Arial"/>
          <w:sz w:val="22"/>
          <w:szCs w:val="22"/>
        </w:rPr>
        <w:t>убъектов</w:t>
      </w:r>
      <w:r>
        <w:rPr>
          <w:rFonts w:ascii="Arial" w:hAnsi="Arial" w:cs="Arial"/>
          <w:sz w:val="22"/>
          <w:szCs w:val="22"/>
        </w:rPr>
        <w:t xml:space="preserve"> персональных данных</w:t>
      </w:r>
      <w:r w:rsidR="00CA3FD3" w:rsidRPr="00CA3FD3">
        <w:rPr>
          <w:rFonts w:ascii="Arial" w:hAnsi="Arial" w:cs="Arial"/>
          <w:sz w:val="22"/>
          <w:szCs w:val="22"/>
        </w:rPr>
        <w:t xml:space="preserve"> или иных оснований правомерности передачи и последующей обработки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 xml:space="preserve">ерсональных данных в соответствии с </w:t>
      </w:r>
      <w:r>
        <w:rPr>
          <w:rFonts w:ascii="Arial" w:hAnsi="Arial" w:cs="Arial"/>
          <w:sz w:val="22"/>
          <w:szCs w:val="22"/>
        </w:rPr>
        <w:t>Соглашением</w:t>
      </w:r>
      <w:r w:rsidR="00CA3FD3" w:rsidRPr="00CA3FD3">
        <w:rPr>
          <w:rFonts w:ascii="Arial" w:hAnsi="Arial" w:cs="Arial"/>
          <w:sz w:val="22"/>
          <w:szCs w:val="22"/>
        </w:rPr>
        <w:t xml:space="preserve">, в случае выявления инцидента (любая неправомерная или случайная передача (предоставление, распространение, доступ)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 xml:space="preserve">ерсональных данных, полученных одной Стороной от другой Стороны), а также при рассмотрении и урегулировании любых обращений (запросов, жалоб, требований, предписаний, претензий, судебных исков), касающихся передаваемых между Сторонами </w:t>
      </w:r>
      <w:r>
        <w:rPr>
          <w:rFonts w:ascii="Arial" w:hAnsi="Arial" w:cs="Arial"/>
          <w:sz w:val="22"/>
          <w:szCs w:val="22"/>
        </w:rPr>
        <w:t>П</w:t>
      </w:r>
      <w:r w:rsidR="00CA3FD3" w:rsidRPr="00CA3FD3">
        <w:rPr>
          <w:rFonts w:ascii="Arial" w:hAnsi="Arial" w:cs="Arial"/>
          <w:sz w:val="22"/>
          <w:szCs w:val="22"/>
        </w:rPr>
        <w:t xml:space="preserve">ерсональных данных, полученных в ходе исполнения </w:t>
      </w:r>
      <w:r>
        <w:rPr>
          <w:rFonts w:ascii="Arial" w:hAnsi="Arial" w:cs="Arial"/>
          <w:sz w:val="22"/>
          <w:szCs w:val="22"/>
        </w:rPr>
        <w:t>Соглашения</w:t>
      </w:r>
      <w:r w:rsidR="00CA3FD3" w:rsidRPr="00CA3FD3">
        <w:rPr>
          <w:rFonts w:ascii="Arial" w:hAnsi="Arial" w:cs="Arial"/>
          <w:sz w:val="22"/>
          <w:szCs w:val="22"/>
        </w:rPr>
        <w:t xml:space="preserve"> любой из Сторон от </w:t>
      </w:r>
      <w:r>
        <w:rPr>
          <w:rFonts w:ascii="Arial" w:hAnsi="Arial" w:cs="Arial"/>
          <w:sz w:val="22"/>
          <w:szCs w:val="22"/>
        </w:rPr>
        <w:t>С</w:t>
      </w:r>
      <w:r w:rsidR="00CA3FD3" w:rsidRPr="00CA3FD3">
        <w:rPr>
          <w:rFonts w:ascii="Arial" w:hAnsi="Arial" w:cs="Arial"/>
          <w:sz w:val="22"/>
          <w:szCs w:val="22"/>
        </w:rPr>
        <w:t>убъектов</w:t>
      </w:r>
      <w:r>
        <w:rPr>
          <w:rFonts w:ascii="Arial" w:hAnsi="Arial" w:cs="Arial"/>
          <w:sz w:val="22"/>
          <w:szCs w:val="22"/>
        </w:rPr>
        <w:t xml:space="preserve"> персональных данных</w:t>
      </w:r>
      <w:r w:rsidR="00CA3FD3" w:rsidRPr="00CA3FD3">
        <w:rPr>
          <w:rFonts w:ascii="Arial" w:hAnsi="Arial" w:cs="Arial"/>
          <w:sz w:val="22"/>
          <w:szCs w:val="22"/>
        </w:rPr>
        <w:t xml:space="preserve">, представителей </w:t>
      </w:r>
      <w:r>
        <w:rPr>
          <w:rFonts w:ascii="Arial" w:hAnsi="Arial" w:cs="Arial"/>
          <w:sz w:val="22"/>
          <w:szCs w:val="22"/>
        </w:rPr>
        <w:t>С</w:t>
      </w:r>
      <w:r w:rsidRPr="00CA3FD3">
        <w:rPr>
          <w:rFonts w:ascii="Arial" w:hAnsi="Arial" w:cs="Arial"/>
          <w:sz w:val="22"/>
          <w:szCs w:val="22"/>
        </w:rPr>
        <w:t>убъектов</w:t>
      </w:r>
      <w:r>
        <w:rPr>
          <w:rFonts w:ascii="Arial" w:hAnsi="Arial" w:cs="Arial"/>
          <w:sz w:val="22"/>
          <w:szCs w:val="22"/>
        </w:rPr>
        <w:t xml:space="preserve"> персональных данных</w:t>
      </w:r>
      <w:r w:rsidR="00CA3FD3" w:rsidRPr="00CA3FD3">
        <w:rPr>
          <w:rFonts w:ascii="Arial" w:hAnsi="Arial" w:cs="Arial"/>
          <w:sz w:val="22"/>
          <w:szCs w:val="22"/>
        </w:rPr>
        <w:t>, уполномоченных органов или третьих лиц. В частности, Сторона, которой стал известен</w:t>
      </w:r>
      <w:r>
        <w:rPr>
          <w:rFonts w:ascii="Arial" w:hAnsi="Arial" w:cs="Arial"/>
          <w:sz w:val="22"/>
          <w:szCs w:val="22"/>
        </w:rPr>
        <w:t xml:space="preserve"> </w:t>
      </w:r>
      <w:r w:rsidR="00CA3FD3" w:rsidRPr="00CA3FD3">
        <w:rPr>
          <w:rFonts w:ascii="Arial" w:hAnsi="Arial" w:cs="Arial"/>
          <w:sz w:val="22"/>
          <w:szCs w:val="22"/>
        </w:rPr>
        <w:t xml:space="preserve">факт прекращения действия вышеуказанных правовых оснований, которой был выявлен инцидент или которая получила вышеупомянутое обращение, обязана надлежащим образом и без неоправданной задержки уведомить об этом другую Сторону в разумный срок после наступления соответствующего события, если такое уведомление не нарушает прав и законных интересов </w:t>
      </w:r>
      <w:r>
        <w:rPr>
          <w:rFonts w:ascii="Arial" w:hAnsi="Arial" w:cs="Arial"/>
          <w:sz w:val="22"/>
          <w:szCs w:val="22"/>
        </w:rPr>
        <w:t>С</w:t>
      </w:r>
      <w:r w:rsidR="00CA3FD3" w:rsidRPr="00CA3FD3">
        <w:rPr>
          <w:rFonts w:ascii="Arial" w:hAnsi="Arial" w:cs="Arial"/>
          <w:sz w:val="22"/>
          <w:szCs w:val="22"/>
        </w:rPr>
        <w:t>убъектов</w:t>
      </w:r>
      <w:r>
        <w:rPr>
          <w:rFonts w:ascii="Arial" w:hAnsi="Arial" w:cs="Arial"/>
          <w:sz w:val="22"/>
          <w:szCs w:val="22"/>
        </w:rPr>
        <w:t xml:space="preserve"> персональных данных</w:t>
      </w:r>
      <w:r w:rsidR="00CA3FD3" w:rsidRPr="00CA3FD3">
        <w:rPr>
          <w:rFonts w:ascii="Arial" w:hAnsi="Arial" w:cs="Arial"/>
          <w:sz w:val="22"/>
          <w:szCs w:val="22"/>
        </w:rPr>
        <w:t>, уведомляющей Стороны и третьих лиц.</w:t>
      </w:r>
    </w:p>
    <w:p w14:paraId="189D0B46" w14:textId="24A7C7CF" w:rsidR="00CA3FD3" w:rsidRPr="00CA3FD3" w:rsidRDefault="00CA3FD3" w:rsidP="00CA3FD3">
      <w:pPr>
        <w:jc w:val="both"/>
        <w:rPr>
          <w:rFonts w:ascii="Arial" w:hAnsi="Arial" w:cs="Arial"/>
          <w:sz w:val="22"/>
          <w:szCs w:val="22"/>
        </w:rPr>
      </w:pPr>
    </w:p>
    <w:sectPr w:rsidR="00CA3FD3" w:rsidRPr="00CA3FD3" w:rsidSect="007974D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42DBE" w14:textId="77777777" w:rsidR="004C002A" w:rsidRDefault="004C002A" w:rsidP="009F143F">
      <w:r>
        <w:separator/>
      </w:r>
    </w:p>
  </w:endnote>
  <w:endnote w:type="continuationSeparator" w:id="0">
    <w:p w14:paraId="1D59F4ED" w14:textId="77777777" w:rsidR="004C002A" w:rsidRDefault="004C002A" w:rsidP="009F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42A6A" w14:textId="77777777" w:rsidR="004C002A" w:rsidRDefault="004C002A" w:rsidP="009F143F">
      <w:r>
        <w:separator/>
      </w:r>
    </w:p>
  </w:footnote>
  <w:footnote w:type="continuationSeparator" w:id="0">
    <w:p w14:paraId="42D064A7" w14:textId="77777777" w:rsidR="004C002A" w:rsidRDefault="004C002A" w:rsidP="009F143F">
      <w:r>
        <w:continuationSeparator/>
      </w:r>
    </w:p>
  </w:footnote>
  <w:footnote w:id="1">
    <w:p w14:paraId="0FBB242A" w14:textId="14C65C10" w:rsidR="009F143F" w:rsidRPr="009F143F" w:rsidRDefault="009F143F">
      <w:pPr>
        <w:pStyle w:val="a7"/>
        <w:rPr>
          <w:rFonts w:ascii="Arial" w:hAnsi="Arial" w:cs="Arial"/>
          <w:sz w:val="18"/>
          <w:szCs w:val="18"/>
        </w:rPr>
      </w:pPr>
      <w:r w:rsidRPr="009F143F">
        <w:rPr>
          <w:rStyle w:val="a9"/>
          <w:rFonts w:ascii="Arial" w:hAnsi="Arial" w:cs="Arial"/>
          <w:sz w:val="18"/>
          <w:szCs w:val="18"/>
        </w:rPr>
        <w:footnoteRef/>
      </w:r>
      <w:r w:rsidRPr="009F143F">
        <w:rPr>
          <w:rFonts w:ascii="Arial" w:hAnsi="Arial" w:cs="Arial"/>
          <w:sz w:val="18"/>
          <w:szCs w:val="18"/>
        </w:rPr>
        <w:t xml:space="preserve"> п. 2 ст. 3 Закон ФЗ-152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173AF"/>
    <w:multiLevelType w:val="hybridMultilevel"/>
    <w:tmpl w:val="8352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631317B7"/>
    <w:multiLevelType w:val="hybridMultilevel"/>
    <w:tmpl w:val="E6E6BBDE"/>
    <w:lvl w:ilvl="0" w:tplc="BBAC4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2903A">
      <w:start w:val="1"/>
      <w:numFmt w:val="lowerLetter"/>
      <w:lvlText w:val="%2."/>
      <w:lvlJc w:val="left"/>
      <w:pPr>
        <w:ind w:left="1440" w:hanging="360"/>
      </w:pPr>
    </w:lvl>
    <w:lvl w:ilvl="2" w:tplc="8B2A3A58">
      <w:start w:val="1"/>
      <w:numFmt w:val="lowerRoman"/>
      <w:lvlText w:val="%3."/>
      <w:lvlJc w:val="right"/>
      <w:pPr>
        <w:ind w:left="2160" w:hanging="180"/>
      </w:pPr>
    </w:lvl>
    <w:lvl w:ilvl="3" w:tplc="BBCAC0F4">
      <w:start w:val="1"/>
      <w:numFmt w:val="decimal"/>
      <w:lvlText w:val="%4."/>
      <w:lvlJc w:val="left"/>
      <w:pPr>
        <w:ind w:left="2880" w:hanging="360"/>
      </w:pPr>
    </w:lvl>
    <w:lvl w:ilvl="4" w:tplc="E5E2A780">
      <w:start w:val="1"/>
      <w:numFmt w:val="lowerLetter"/>
      <w:lvlText w:val="%5."/>
      <w:lvlJc w:val="left"/>
      <w:pPr>
        <w:ind w:left="3600" w:hanging="360"/>
      </w:pPr>
    </w:lvl>
    <w:lvl w:ilvl="5" w:tplc="812E67CC">
      <w:start w:val="1"/>
      <w:numFmt w:val="lowerRoman"/>
      <w:lvlText w:val="%6."/>
      <w:lvlJc w:val="right"/>
      <w:pPr>
        <w:ind w:left="4320" w:hanging="180"/>
      </w:pPr>
    </w:lvl>
    <w:lvl w:ilvl="6" w:tplc="5F3AA9E8">
      <w:start w:val="1"/>
      <w:numFmt w:val="decimal"/>
      <w:lvlText w:val="%7."/>
      <w:lvlJc w:val="left"/>
      <w:pPr>
        <w:ind w:left="5040" w:hanging="360"/>
      </w:pPr>
    </w:lvl>
    <w:lvl w:ilvl="7" w:tplc="92E4C3DC">
      <w:start w:val="1"/>
      <w:numFmt w:val="lowerLetter"/>
      <w:lvlText w:val="%8."/>
      <w:lvlJc w:val="left"/>
      <w:pPr>
        <w:ind w:left="5760" w:hanging="360"/>
      </w:pPr>
    </w:lvl>
    <w:lvl w:ilvl="8" w:tplc="81B207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495F"/>
    <w:multiLevelType w:val="hybridMultilevel"/>
    <w:tmpl w:val="1E06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05AB6"/>
    <w:multiLevelType w:val="multilevel"/>
    <w:tmpl w:val="057EF450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7B390740"/>
    <w:multiLevelType w:val="hybridMultilevel"/>
    <w:tmpl w:val="AD529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AF"/>
    <w:rsid w:val="000F7762"/>
    <w:rsid w:val="00230B89"/>
    <w:rsid w:val="003712B8"/>
    <w:rsid w:val="003D096D"/>
    <w:rsid w:val="003F4DA6"/>
    <w:rsid w:val="004C002A"/>
    <w:rsid w:val="004E1FAD"/>
    <w:rsid w:val="006039A7"/>
    <w:rsid w:val="00664ADE"/>
    <w:rsid w:val="006D61AF"/>
    <w:rsid w:val="007974DE"/>
    <w:rsid w:val="007F401E"/>
    <w:rsid w:val="008064F3"/>
    <w:rsid w:val="00905939"/>
    <w:rsid w:val="00907E36"/>
    <w:rsid w:val="0097236A"/>
    <w:rsid w:val="009E21F6"/>
    <w:rsid w:val="009F143F"/>
    <w:rsid w:val="00A03FBB"/>
    <w:rsid w:val="00B56D1A"/>
    <w:rsid w:val="00C24C68"/>
    <w:rsid w:val="00CA3FD3"/>
    <w:rsid w:val="00D47FD9"/>
    <w:rsid w:val="00F80E8A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13F1"/>
  <w15:chartTrackingRefBased/>
  <w15:docId w15:val="{F533241B-DCE5-4B67-9B85-C5B3CA4D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0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7F401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1">
    <w:name w:val="T1_Обычный"/>
    <w:basedOn w:val="a1"/>
    <w:link w:val="T10"/>
    <w:qFormat/>
    <w:rsid w:val="00B56D1A"/>
    <w:pPr>
      <w:spacing w:before="120" w:after="120"/>
      <w:jc w:val="both"/>
    </w:pPr>
    <w:rPr>
      <w:rFonts w:ascii="Arial" w:eastAsiaTheme="minorHAnsi" w:hAnsi="Arial" w:cs="Arial"/>
      <w:sz w:val="22"/>
      <w:lang w:eastAsia="en-US"/>
    </w:rPr>
  </w:style>
  <w:style w:type="character" w:customStyle="1" w:styleId="T10">
    <w:name w:val="T1_Обычный Знак"/>
    <w:basedOn w:val="a2"/>
    <w:link w:val="T1"/>
    <w:rsid w:val="00B56D1A"/>
    <w:rPr>
      <w:rFonts w:ascii="Arial" w:hAnsi="Arial" w:cs="Arial"/>
      <w:szCs w:val="24"/>
    </w:rPr>
  </w:style>
  <w:style w:type="paragraph" w:customStyle="1" w:styleId="T11">
    <w:name w:val="T1_Пояснения"/>
    <w:basedOn w:val="T1"/>
    <w:link w:val="T12"/>
    <w:autoRedefine/>
    <w:qFormat/>
    <w:rsid w:val="00B56D1A"/>
  </w:style>
  <w:style w:type="character" w:customStyle="1" w:styleId="T12">
    <w:name w:val="T1_Пояснения Знак"/>
    <w:basedOn w:val="T10"/>
    <w:link w:val="T11"/>
    <w:rsid w:val="00B56D1A"/>
    <w:rPr>
      <w:rFonts w:ascii="Arial" w:hAnsi="Arial" w:cs="Arial"/>
      <w:szCs w:val="24"/>
    </w:rPr>
  </w:style>
  <w:style w:type="paragraph" w:customStyle="1" w:styleId="a">
    <w:name w:val="Наименование разделов"/>
    <w:basedOn w:val="a1"/>
    <w:qFormat/>
    <w:rsid w:val="00CA3FD3"/>
    <w:pPr>
      <w:numPr>
        <w:numId w:val="3"/>
      </w:numPr>
      <w:autoSpaceDE w:val="0"/>
      <w:autoSpaceDN w:val="0"/>
      <w:adjustRightInd w:val="0"/>
      <w:spacing w:after="240" w:line="276" w:lineRule="auto"/>
    </w:pPr>
    <w:rPr>
      <w:b/>
    </w:rPr>
  </w:style>
  <w:style w:type="paragraph" w:customStyle="1" w:styleId="a0">
    <w:name w:val="Подразделы"/>
    <w:basedOn w:val="a1"/>
    <w:qFormat/>
    <w:rsid w:val="00CA3FD3"/>
    <w:pPr>
      <w:numPr>
        <w:ilvl w:val="1"/>
        <w:numId w:val="3"/>
      </w:numPr>
      <w:autoSpaceDE w:val="0"/>
      <w:autoSpaceDN w:val="0"/>
      <w:adjustRightInd w:val="0"/>
      <w:spacing w:after="240" w:line="276" w:lineRule="auto"/>
      <w:jc w:val="both"/>
    </w:pPr>
  </w:style>
  <w:style w:type="paragraph" w:styleId="a7">
    <w:name w:val="footnote text"/>
    <w:basedOn w:val="a1"/>
    <w:link w:val="a8"/>
    <w:uiPriority w:val="99"/>
    <w:semiHidden/>
    <w:unhideWhenUsed/>
    <w:rsid w:val="009F143F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semiHidden/>
    <w:rsid w:val="009F1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2"/>
    <w:uiPriority w:val="99"/>
    <w:semiHidden/>
    <w:unhideWhenUsed/>
    <w:rsid w:val="009F143F"/>
    <w:rPr>
      <w:vertAlign w:val="superscript"/>
    </w:rPr>
  </w:style>
  <w:style w:type="character" w:styleId="aa">
    <w:name w:val="annotation reference"/>
    <w:basedOn w:val="a2"/>
    <w:uiPriority w:val="99"/>
    <w:semiHidden/>
    <w:unhideWhenUsed/>
    <w:rsid w:val="003D096D"/>
    <w:rPr>
      <w:sz w:val="16"/>
      <w:szCs w:val="16"/>
    </w:rPr>
  </w:style>
  <w:style w:type="paragraph" w:styleId="ab">
    <w:name w:val="annotation text"/>
    <w:basedOn w:val="a1"/>
    <w:link w:val="ac"/>
    <w:uiPriority w:val="99"/>
    <w:semiHidden/>
    <w:unhideWhenUsed/>
    <w:rsid w:val="003D096D"/>
    <w:rPr>
      <w:sz w:val="20"/>
      <w:szCs w:val="20"/>
    </w:rPr>
  </w:style>
  <w:style w:type="character" w:customStyle="1" w:styleId="ac">
    <w:name w:val="Текст примечания Знак"/>
    <w:basedOn w:val="a2"/>
    <w:link w:val="ab"/>
    <w:uiPriority w:val="99"/>
    <w:semiHidden/>
    <w:rsid w:val="003D0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09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09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3D096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3D096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basedOn w:val="a2"/>
    <w:link w:val="a5"/>
    <w:uiPriority w:val="34"/>
    <w:qFormat/>
    <w:rsid w:val="00A03FB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5434-10C5-40FC-B8F9-E13CF2C0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 Тимофей Васильевич</dc:creator>
  <cp:keywords/>
  <dc:description/>
  <cp:lastModifiedBy>Фокин Тимофей Васильевич</cp:lastModifiedBy>
  <cp:revision>2</cp:revision>
  <dcterms:created xsi:type="dcterms:W3CDTF">2024-10-04T12:28:00Z</dcterms:created>
  <dcterms:modified xsi:type="dcterms:W3CDTF">2024-10-04T12:28:00Z</dcterms:modified>
</cp:coreProperties>
</file>